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8C4A32"/>
          <w:sz w:val="19"/>
        </w:rPr>
        <w:t>MODIFIABLE REQUEST FOR PROPOSALS (RFP) TEMPLATE  |  VNA-RFP-002</w:t>
      </w:r>
    </w:p>
    <w:p>
      <w:pPr>
        <w:pStyle w:val="Heading1"/>
      </w:pPr>
      <w:r>
        <w:rPr>
          <w:color w:val="262421"/>
        </w:rPr>
        <w:t>Request for Proposals (RFP): PowerBuilder to Google Cloud Migration (Cloud Run, React &amp; AlloyDB)</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8C4A32"/>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B2927"/>
          </w:tcPr>
          <w:p>
            <w:r>
              <w:rPr>
                <w:b/>
                <w:color w:val="FFFFFF"/>
                <w:sz w:val="19"/>
              </w:rPr>
              <w:t>Procurement Milestone / Field</w:t>
            </w:r>
          </w:p>
        </w:tc>
        <w:tc>
          <w:tcPr>
            <w:tcW w:type="dxa" w:w="5040"/>
            <w:shd w:val="clear" w:color="auto" w:fill="2B2927"/>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VNA-RFP-002 (Companion to Solution Brief VNA-SB-002)</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PowerBuilder (.pbl, DataWindows, PowerScript) + Sybase / SQL Server / Oracle environment to Google Cloud Run, React/TypeScript, AlloyDB / Cloud SQL &amp; BigQuery.</w:t>
      </w:r>
    </w:p>
    <w:p>
      <w:pPr>
        <w:pStyle w:val="ListBullet"/>
      </w:pPr>
      <w:r>
        <w:t>Organizations standardizing on Google Cloud Platform often discover dozens of departmental or core operational PowerBuilder applications tied to on-premises Sybase ASE, SQL Server, or legacy Oracle instances.</w:t>
      </w:r>
    </w:p>
    <w:p>
      <w:pPr>
        <w:pStyle w:val="ListBullet"/>
      </w:pPr>
      <w:r>
        <w:t>Lifting and shifting Windows fat-client binaries into Google Compute Engine VMs with remote desktop streaming preserves every maintenance bottleneck while inflating cloud compute bills.</w:t>
      </w:r>
    </w:p>
    <w:p>
      <w:pPr>
        <w:pStyle w:val="ListBullet"/>
      </w:pPr>
      <w:r>
        <w:t>Engineering teams proficient in TypeScript, Python, and Go lack the domain tooling to decipher binary PowerBuilder .pbl libraries, inherited DataWindow buffers (Primary!, Delete!, Filter!), and implicit transaction commits.</w:t>
      </w:r>
    </w:p>
    <w:p>
      <w:pPr>
        <w:pStyle w:val="Heading2"/>
      </w:pPr>
      <w:r>
        <w:rPr>
          <w:color w:val="8C4A32"/>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8C4A32"/>
          </w:tcPr>
          <w:p>
            <w:r>
              <w:rPr>
                <w:b/>
                <w:color w:val="FFFFFF"/>
                <w:sz w:val="19"/>
              </w:rPr>
              <w:t>Inventory Dimension</w:t>
            </w:r>
          </w:p>
        </w:tc>
        <w:tc>
          <w:tcPr>
            <w:tcW w:type="dxa" w:w="3360"/>
            <w:shd w:val="clear" w:color="auto" w:fill="8C4A32"/>
          </w:tcPr>
          <w:p>
            <w:r>
              <w:rPr>
                <w:b/>
                <w:color w:val="FFFFFF"/>
                <w:sz w:val="19"/>
              </w:rPr>
              <w:t>Current Baseline Footprint (Editable)</w:t>
            </w:r>
          </w:p>
        </w:tc>
        <w:tc>
          <w:tcPr>
            <w:tcW w:type="dxa" w:w="3360"/>
            <w:shd w:val="clear" w:color="auto" w:fill="8C4A32"/>
          </w:tcPr>
          <w:p>
            <w:r>
              <w:rPr>
                <w:b/>
                <w:color w:val="FFFFFF"/>
                <w:sz w:val="19"/>
              </w:rPr>
              <w:t>Target Modernization SLA / Objective</w:t>
            </w:r>
          </w:p>
        </w:tc>
      </w:tr>
      <w:tr>
        <w:tc>
          <w:tcPr>
            <w:tcW w:type="dxa" w:w="3360"/>
          </w:tcPr>
          <w:p>
            <w:r>
              <w:rPr>
                <w:b/>
              </w:rPr>
              <w:t>Legacy Source Stack (Stack X)</w:t>
            </w:r>
          </w:p>
        </w:tc>
        <w:tc>
          <w:tcPr>
            <w:tcW w:type="dxa" w:w="3360"/>
          </w:tcPr>
          <w:p>
            <w:r>
              <w:t>PowerBuilder (.pbl, DataWindows, PowerScript) + Sybase / SQL Server / Oracle</w:t>
            </w:r>
          </w:p>
        </w:tc>
        <w:tc>
          <w:tcPr>
            <w:tcW w:type="dxa" w:w="3360"/>
          </w:tcPr>
          <w:p>
            <w:r>
              <w:t>Full retirement / modernization</w:t>
            </w:r>
          </w:p>
        </w:tc>
      </w:tr>
      <w:tr>
        <w:tc>
          <w:tcPr>
            <w:tcW w:type="dxa" w:w="3360"/>
          </w:tcPr>
          <w:p>
            <w:r>
              <w:rPr>
                <w:b/>
              </w:rPr>
              <w:t>Target Architecture (Stack Y)</w:t>
            </w:r>
          </w:p>
        </w:tc>
        <w:tc>
          <w:tcPr>
            <w:tcW w:type="dxa" w:w="3360"/>
          </w:tcPr>
          <w:p>
            <w:r>
              <w:t>Google Cloud Run, React/TypeScript, AlloyDB / Cloud SQL &amp; BigQuery</w:t>
            </w:r>
          </w:p>
        </w:tc>
        <w:tc>
          <w:tcPr>
            <w:tcW w:type="dxa" w:w="3360"/>
          </w:tcPr>
          <w:p>
            <w:r>
              <w:t>Production HA/DR &amp; security governance</w:t>
            </w:r>
          </w:p>
        </w:tc>
      </w:tr>
      <w:tr>
        <w:tc>
          <w:tcPr>
            <w:tcW w:type="dxa" w:w="3360"/>
          </w:tcPr>
          <w:p>
            <w:r>
              <w:rPr>
                <w:b/>
              </w:rPr>
              <w:t>PowerBuilder Windows &amp; Services</w:t>
            </w:r>
          </w:p>
        </w:tc>
        <w:tc>
          <w:tcPr>
            <w:tcW w:type="dxa" w:w="3360"/>
          </w:tcPr>
          <w:p>
            <w:r>
              <w:t>[Insert Count, e.g., 180 windows]</w:t>
            </w:r>
          </w:p>
        </w:tc>
        <w:tc>
          <w:tcPr>
            <w:tcW w:type="dxa" w:w="3360"/>
          </w:tcPr>
          <w:p>
            <w:r>
              <w:t>100% functional parity &amp; optimization</w:t>
            </w:r>
          </w:p>
        </w:tc>
      </w:tr>
      <w:tr>
        <w:tc>
          <w:tcPr>
            <w:tcW w:type="dxa" w:w="3360"/>
          </w:tcPr>
          <w:p>
            <w:r>
              <w:rPr>
                <w:b/>
              </w:rPr>
              <w:t>DataWindows &amp; Stored Procedures</w:t>
            </w:r>
          </w:p>
        </w:tc>
        <w:tc>
          <w:tcPr>
            <w:tcW w:type="dxa" w:w="3360"/>
          </w:tcPr>
          <w:p>
            <w:r>
              <w:t>[Insert Count, e.g., 400 objects]</w:t>
            </w:r>
          </w:p>
        </w:tc>
        <w:tc>
          <w:tcPr>
            <w:tcW w:type="dxa" w:w="3360"/>
          </w:tcPr>
          <w:p>
            <w:r>
              <w:t>Automated AST &amp; schema uplift</w:t>
            </w:r>
          </w:p>
        </w:tc>
      </w:tr>
      <w:tr>
        <w:tc>
          <w:tcPr>
            <w:tcW w:type="dxa" w:w="3360"/>
          </w:tcPr>
          <w:p>
            <w:r>
              <w:rPr>
                <w:b/>
              </w:rPr>
              <w:t>Query Fan-Out Rationalization (Cloned DataWindows -&gt; Core SQL + Runtime Filters)</w:t>
            </w:r>
          </w:p>
        </w:tc>
        <w:tc>
          <w:tcPr>
            <w:tcW w:type="dxa" w:w="3360"/>
          </w:tcPr>
          <w:p>
            <w:r>
              <w:t>[Insert Count, e.g., 75 % fan-out reduction]</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8C4A32"/>
        </w:rPr>
        <w:t>Section 3: Mandatory Technical Scope of Work &amp; Conversion Matrix</w:t>
      </w:r>
    </w:p>
    <w:p>
      <w:pPr>
        <w:pStyle w:val="ListNumber"/>
      </w:pPr>
      <w:r>
        <w:rPr>
          <w:b/>
        </w:rPr>
        <w:t xml:space="preserve">[REQ-ARCH-01] </w:t>
      </w:r>
      <w:r>
        <w:t>Automated PBL Decompilation &amp; Specification Blueprinting: Our reverse-engineering engine parses every .pbl library, producing OpenAPI 3.1 specifications, Entity-Relationship models, and human-readable business-rule specifications from legacy PowerScript.</w:t>
      </w:r>
    </w:p>
    <w:p>
      <w:pPr>
        <w:pStyle w:val="ListNumber"/>
      </w:pPr>
      <w:r>
        <w:rPr>
          <w:b/>
        </w:rPr>
        <w:t xml:space="preserve">[REQ-ARCH-02] </w:t>
      </w:r>
      <w:r>
        <w:t>DataWindow Buffer-to-REST/GraphQL Translation: PowerBuilder's stateful Primary!, Filter!, and Delete! DataWindow buffers are translated into stateless, optimistic-concurrency REST endpoints running on Google Cloud Run (Python FastAPI / Node / Go) backed by Cloud Tasks and Pub/Sub.</w:t>
      </w:r>
    </w:p>
    <w:p>
      <w:pPr>
        <w:pStyle w:val="ListNumber"/>
      </w:pPr>
      <w:r>
        <w:rPr>
          <w:b/>
        </w:rPr>
        <w:t xml:space="preserve">[REQ-ARCH-03] </w:t>
      </w:r>
      <w:r>
        <w:t>Database Modernization to AlloyDB or Oracle@Google Cloud: Underlying Sybase, SQL Server, or legacy Oracle schemas are migrated via Google Database Migration Service (DMS) or GoldenGate into AlloyDB for PostgreSQL or Oracle Database@Google Cloud.</w:t>
      </w:r>
    </w:p>
    <w:p>
      <w:pPr>
        <w:pStyle w:val="ListNumber"/>
      </w:pPr>
      <w:r>
        <w:rPr>
          <w:b/>
        </w:rPr>
        <w:t xml:space="preserve">[REQ-ARCH-04] </w:t>
      </w:r>
      <w:r>
        <w:t>Reporting DataWindows to BigQuery &amp; Looker: Heavy reporting and composite DataWindows are offloaded from transactional tables into BigQuery medallion tables with scheduled queries and Looker Studio dashboards.</w:t>
      </w:r>
    </w:p>
    <w:p>
      <w:pPr>
        <w:pStyle w:val="ListNumber"/>
      </w:pPr>
      <w:r>
        <w:rPr>
          <w:b/>
        </w:rPr>
        <w:t xml:space="preserve">[REQ-ARCH-05] </w:t>
      </w:r>
      <w:r>
        <w:t>Query Fan-Out Rationalization &amp; Runtime/Inference Filtering: Instead of migrating cloned reports and DataWindows 1-for-1, our AST SQL parser clusters queries by their canonical core JOIN graph, builds governed Oracle 23ai views only for those core queries, and generates dynamic WHERE clauses, faceted filters, and ad-hoc report variations at runtime and via AI inference (APEX 24.2 Smart Filters &amp; Select AI).</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927"/>
          </w:tcPr>
          <w:p>
            <w:r>
              <w:rPr>
                <w:b/>
                <w:color w:val="FFFFFF"/>
                <w:sz w:val="19"/>
              </w:rPr>
              <w:t>Req ID</w:t>
            </w:r>
          </w:p>
        </w:tc>
        <w:tc>
          <w:tcPr>
            <w:tcW w:type="dxa" w:w="2520"/>
            <w:shd w:val="clear" w:color="auto" w:fill="2B2927"/>
          </w:tcPr>
          <w:p>
            <w:r>
              <w:rPr>
                <w:b/>
                <w:color w:val="FFFFFF"/>
                <w:sz w:val="19"/>
              </w:rPr>
              <w:t>Legacy Artifact / Baseline Workload</w:t>
            </w:r>
          </w:p>
        </w:tc>
        <w:tc>
          <w:tcPr>
            <w:tcW w:type="dxa" w:w="2520"/>
            <w:shd w:val="clear" w:color="auto" w:fill="2B2927"/>
          </w:tcPr>
          <w:p>
            <w:r>
              <w:rPr>
                <w:b/>
                <w:color w:val="FFFFFF"/>
                <w:sz w:val="19"/>
              </w:rPr>
              <w:t>Required Target Architecture</w:t>
            </w:r>
          </w:p>
        </w:tc>
        <w:tc>
          <w:tcPr>
            <w:tcW w:type="dxa" w:w="2520"/>
            <w:shd w:val="clear" w:color="auto" w:fill="2B2927"/>
          </w:tcPr>
          <w:p>
            <w:r>
              <w:rPr>
                <w:b/>
                <w:color w:val="FFFFFF"/>
                <w:sz w:val="19"/>
              </w:rPr>
              <w:t>Engineering Method &amp; Acceptance Gate</w:t>
            </w:r>
          </w:p>
        </w:tc>
      </w:tr>
      <w:tr>
        <w:tc>
          <w:tcPr>
            <w:tcW w:type="dxa" w:w="2520"/>
          </w:tcPr>
          <w:p>
            <w:r>
              <w:rPr>
                <w:b/>
              </w:rPr>
              <w:t>REQ-01</w:t>
            </w:r>
          </w:p>
        </w:tc>
        <w:tc>
          <w:tcPr>
            <w:tcW w:type="dxa" w:w="2520"/>
          </w:tcPr>
          <w:p>
            <w:r>
              <w:t>PowerBuilder DataWindow (.srd) CRUD &amp; Buffers</w:t>
            </w:r>
          </w:p>
        </w:tc>
        <w:tc>
          <w:tcPr>
            <w:tcW w:type="dxa" w:w="2520"/>
          </w:tcPr>
          <w:p>
            <w:r>
              <w:t>React TanStack Table / AG Grid + FastAPI on Cloud Run</w:t>
            </w:r>
          </w:p>
        </w:tc>
        <w:tc>
          <w:tcPr>
            <w:tcW w:type="dxa" w:w="2520"/>
          </w:tcPr>
          <w:p>
            <w:r>
              <w:t>OpenAPI 3.1 Schema &amp; JSON DTO Generation</w:t>
            </w:r>
          </w:p>
        </w:tc>
      </w:tr>
      <w:tr>
        <w:tc>
          <w:tcPr>
            <w:tcW w:type="dxa" w:w="2520"/>
          </w:tcPr>
          <w:p>
            <w:r>
              <w:rPr>
                <w:b/>
              </w:rPr>
              <w:t>REQ-02</w:t>
            </w:r>
          </w:p>
        </w:tc>
        <w:tc>
          <w:tcPr>
            <w:tcW w:type="dxa" w:w="2520"/>
          </w:tcPr>
          <w:p>
            <w:r>
              <w:t>PowerScript Non-Visual Objects (NVO)</w:t>
            </w:r>
          </w:p>
        </w:tc>
        <w:tc>
          <w:tcPr>
            <w:tcW w:type="dxa" w:w="2520"/>
          </w:tcPr>
          <w:p>
            <w:r>
              <w:t>Containerized Cloud Run Microservices (Python / TypeScript)</w:t>
            </w:r>
          </w:p>
        </w:tc>
        <w:tc>
          <w:tcPr>
            <w:tcW w:type="dxa" w:w="2520"/>
          </w:tcPr>
          <w:p>
            <w:r>
              <w:t>AST Business Rule Extraction + Pytest Suite</w:t>
            </w:r>
          </w:p>
        </w:tc>
      </w:tr>
      <w:tr>
        <w:tc>
          <w:tcPr>
            <w:tcW w:type="dxa" w:w="2520"/>
          </w:tcPr>
          <w:p>
            <w:r>
              <w:rPr>
                <w:b/>
              </w:rPr>
              <w:t>REQ-03</w:t>
            </w:r>
          </w:p>
        </w:tc>
        <w:tc>
          <w:tcPr>
            <w:tcW w:type="dxa" w:w="2520"/>
          </w:tcPr>
          <w:p>
            <w:r>
              <w:t>Sybase ASE / SQL Server Stored Procedures</w:t>
            </w:r>
          </w:p>
        </w:tc>
        <w:tc>
          <w:tcPr>
            <w:tcW w:type="dxa" w:w="2520"/>
          </w:tcPr>
          <w:p>
            <w:r>
              <w:t>AlloyDB for PostgreSQL PL/pgSQL or Oracle@GCP</w:t>
            </w:r>
          </w:p>
        </w:tc>
        <w:tc>
          <w:tcPr>
            <w:tcW w:type="dxa" w:w="2520"/>
          </w:tcPr>
          <w:p>
            <w:r>
              <w:t>Automated Dialect Transpilation &amp; DMS Cutover</w:t>
            </w:r>
          </w:p>
        </w:tc>
      </w:tr>
      <w:tr>
        <w:tc>
          <w:tcPr>
            <w:tcW w:type="dxa" w:w="2520"/>
          </w:tcPr>
          <w:p>
            <w:r>
              <w:rPr>
                <w:b/>
              </w:rPr>
              <w:t>REQ-04</w:t>
            </w:r>
          </w:p>
        </w:tc>
        <w:tc>
          <w:tcPr>
            <w:tcW w:type="dxa" w:w="2520"/>
          </w:tcPr>
          <w:p>
            <w:r>
              <w:t>Composite Reporting DataWindows</w:t>
            </w:r>
          </w:p>
        </w:tc>
        <w:tc>
          <w:tcPr>
            <w:tcW w:type="dxa" w:w="2520"/>
          </w:tcPr>
          <w:p>
            <w:r>
              <w:t>BigQuery Partitioned Views + Looker / PDF Cloud Functions</w:t>
            </w:r>
          </w:p>
        </w:tc>
        <w:tc>
          <w:tcPr>
            <w:tcW w:type="dxa" w:w="2520"/>
          </w:tcPr>
          <w:p>
            <w:r>
              <w:t>SQL Pushdown &amp; Serverless PDF Rendering</w:t>
            </w:r>
          </w:p>
        </w:tc>
      </w:tr>
      <w:tr>
        <w:tc>
          <w:tcPr>
            <w:tcW w:type="dxa" w:w="2520"/>
          </w:tcPr>
          <w:p>
            <w:r>
              <w:rPr>
                <w:b/>
              </w:rPr>
              <w:t>REQ-05</w:t>
            </w:r>
          </w:p>
        </w:tc>
        <w:tc>
          <w:tcPr>
            <w:tcW w:type="dxa" w:w="2520"/>
          </w:tcPr>
          <w:p>
            <w:r>
              <w:t>INI Files &amp; Windows Registry Config</w:t>
            </w:r>
          </w:p>
        </w:tc>
        <w:tc>
          <w:tcPr>
            <w:tcW w:type="dxa" w:w="2520"/>
          </w:tcPr>
          <w:p>
            <w:r>
              <w:t>GCP Secret Manager + Cloud Identity / IAP SSO</w:t>
            </w:r>
          </w:p>
        </w:tc>
        <w:tc>
          <w:tcPr>
            <w:tcW w:type="dxa" w:w="2520"/>
          </w:tcPr>
          <w:p>
            <w:r>
              <w:t>Zero-Trust IAM &amp; OAuth2 Token Wiring</w:t>
            </w:r>
          </w:p>
        </w:tc>
      </w:tr>
      <w:tr>
        <w:tc>
          <w:tcPr>
            <w:tcW w:type="dxa" w:w="2520"/>
          </w:tcPr>
          <w:p>
            <w:r>
              <w:rPr>
                <w:b/>
              </w:rPr>
              <w:t>REQ-06</w:t>
            </w:r>
          </w:p>
        </w:tc>
        <w:tc>
          <w:tcPr>
            <w:tcW w:type="dxa" w:w="2520"/>
          </w:tcPr>
          <w:p>
            <w:r>
              <w:t>Cloned Reports / Queries Differing Only by WHERE Clause or Group-By (Query Fan-Out)</w:t>
            </w:r>
          </w:p>
        </w:tc>
        <w:tc>
          <w:tcPr>
            <w:tcW w:type="dxa" w:w="2520"/>
          </w:tcPr>
          <w:p>
            <w:r>
              <w:t>Canonical Core SQL View + APEX 24.2 Runtime / AI Inference Filters</w:t>
            </w:r>
          </w:p>
        </w:tc>
        <w:tc>
          <w:tcPr>
            <w:tcW w:type="dxa" w:w="2520"/>
          </w:tcPr>
          <w:p>
            <w:r>
              <w:t>AST Join-Graph Clustering (75-90% Report Count Reduction)</w:t>
            </w:r>
          </w:p>
        </w:tc>
      </w:tr>
    </w:tbl>
    <w:p>
      <w:pPr>
        <w:pStyle w:val="Heading2"/>
      </w:pPr>
      <w:r>
        <w:rPr>
          <w:color w:val="8C4A32"/>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Can we run Oracle Database natively inside Google Cloud if we want to keep our PL/SQL packages?   [Evaluator Score: ___ / 10]</w:t>
      </w:r>
    </w:p>
    <w:p>
      <w:pPr>
        <w:pStyle w:val="ListBullet"/>
      </w:pPr>
      <w:r>
        <w:rPr>
          <w:b/>
        </w:rPr>
        <w:t xml:space="preserve">Reference Evaluation Benchmark: </w:t>
      </w:r>
      <w:r>
        <w:t>Yes. With Oracle Database@Google Cloud (Exadata Database Service and Autonomous Database running physically inside GCP data centers), you can pair Google Cloud Run / Vertex AI directly with low-latency Oracle databases or Oracle APEX.</w:t>
      </w:r>
    </w:p>
    <w:p>
      <w:pPr>
        <w:pStyle w:val="ListBullet"/>
      </w:pPr>
      <w:r>
        <w:rPr>
          <w:b/>
        </w:rPr>
        <w:t xml:space="preserve">Vendor Written Response: </w:t>
      </w:r>
      <w:r>
        <w:t>[Bidder to insert concrete technical architecture and verifiable production proof here]</w:t>
      </w:r>
    </w:p>
    <w:p>
      <w:r>
        <w:rPr>
          <w:b/>
        </w:rPr>
        <w:t>Vendor Question 2: How do you validate that the new Google Cloud application matches legacy PowerBuilder calculations?   [Evaluator Score: ___ / 10]</w:t>
      </w:r>
    </w:p>
    <w:p>
      <w:pPr>
        <w:pStyle w:val="ListBullet"/>
      </w:pPr>
      <w:r>
        <w:rPr>
          <w:b/>
        </w:rPr>
        <w:t xml:space="preserve">Reference Evaluation Benchmark: </w:t>
      </w:r>
      <w:r>
        <w:t>Our pipeline captures real transaction payloads and DataWindow result sets from the legacy app and replays them against the new Cloud Run API endpoints to prove 100% numerical parity before cutover.</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PDF Solution Brief details the 5-stage PowerBuilder-to-GCP AST extraction pipeline, the DataWindow-to-React/Cloud-Run reference architecture, and a decision matrix comparing AlloyDB vs. Oracle Database@Google Cloud.</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8C4A32"/>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927"/>
          </w:tcPr>
          <w:p>
            <w:r>
              <w:rPr>
                <w:b/>
                <w:color w:val="FFFFFF"/>
                <w:sz w:val="19"/>
              </w:rPr>
              <w:t>Milestone / Phase</w:t>
            </w:r>
          </w:p>
        </w:tc>
        <w:tc>
          <w:tcPr>
            <w:tcW w:type="dxa" w:w="2520"/>
            <w:shd w:val="clear" w:color="auto" w:fill="2B2927"/>
          </w:tcPr>
          <w:p>
            <w:r>
              <w:rPr>
                <w:b/>
                <w:color w:val="FFFFFF"/>
                <w:sz w:val="19"/>
              </w:rPr>
              <w:t>Deliverable &amp; Acceptance Gate</w:t>
            </w:r>
          </w:p>
        </w:tc>
        <w:tc>
          <w:tcPr>
            <w:tcW w:type="dxa" w:w="2520"/>
            <w:shd w:val="clear" w:color="auto" w:fill="2B2927"/>
          </w:tcPr>
          <w:p>
            <w:r>
              <w:rPr>
                <w:b/>
                <w:color w:val="FFFFFF"/>
                <w:sz w:val="19"/>
              </w:rPr>
              <w:t>Fixed Fee (USD)</w:t>
            </w:r>
          </w:p>
        </w:tc>
        <w:tc>
          <w:tcPr>
            <w:tcW w:type="dxa" w:w="2520"/>
            <w:shd w:val="clear" w:color="auto" w:fill="2B2927"/>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(VNA-RFP-002)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VNA-RFP-002  |  https://powerbuilder-to-gcp.web.app/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